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AD" w:rsidRDefault="00EC327B">
      <w:pPr>
        <w:jc w:val="center"/>
        <w:rPr>
          <w:rFonts w:ascii="Times New Roman" w:hAnsi="Times New Roman"/>
          <w:b/>
          <w:bCs/>
          <w:sz w:val="36"/>
          <w:szCs w:val="36"/>
        </w:rPr>
      </w:pPr>
      <w:r>
        <w:rPr>
          <w:rFonts w:ascii="Times New Roman" w:hAnsi="Times New Roman"/>
          <w:b/>
          <w:bCs/>
          <w:sz w:val="36"/>
          <w:szCs w:val="36"/>
        </w:rPr>
        <w:t>《盐城市</w:t>
      </w:r>
      <w:r>
        <w:rPr>
          <w:rFonts w:ascii="Times New Roman" w:hAnsi="Times New Roman" w:hint="eastAsia"/>
          <w:b/>
          <w:bCs/>
          <w:sz w:val="36"/>
          <w:szCs w:val="36"/>
        </w:rPr>
        <w:t>亭湖区</w:t>
      </w:r>
      <w:r>
        <w:rPr>
          <w:rFonts w:ascii="Times New Roman" w:hAnsi="Times New Roman" w:hint="eastAsia"/>
          <w:b/>
          <w:bCs/>
          <w:sz w:val="36"/>
          <w:szCs w:val="36"/>
        </w:rPr>
        <w:t>2023-04</w:t>
      </w:r>
      <w:r>
        <w:rPr>
          <w:rFonts w:ascii="Times New Roman" w:hAnsi="Times New Roman"/>
          <w:b/>
          <w:bCs/>
          <w:sz w:val="36"/>
          <w:szCs w:val="36"/>
        </w:rPr>
        <w:t>号土地征收成片开发方案》</w:t>
      </w:r>
    </w:p>
    <w:p w:rsidR="006079AD" w:rsidRDefault="00EC327B">
      <w:pPr>
        <w:jc w:val="center"/>
        <w:rPr>
          <w:rFonts w:ascii="Times New Roman" w:hAnsi="Times New Roman"/>
          <w:b/>
          <w:bCs/>
          <w:sz w:val="36"/>
          <w:szCs w:val="36"/>
        </w:rPr>
      </w:pPr>
      <w:r>
        <w:rPr>
          <w:rFonts w:ascii="Times New Roman" w:hAnsi="Times New Roman" w:hint="eastAsia"/>
          <w:b/>
          <w:bCs/>
          <w:sz w:val="36"/>
          <w:szCs w:val="36"/>
        </w:rPr>
        <w:t>（征求意见稿）</w:t>
      </w:r>
    </w:p>
    <w:p w:rsidR="006079AD" w:rsidRDefault="006079AD">
      <w:pPr>
        <w:spacing w:line="360" w:lineRule="auto"/>
        <w:ind w:firstLineChars="200" w:firstLine="560"/>
        <w:rPr>
          <w:rFonts w:ascii="Times New Roman" w:hAnsi="Times New Roman"/>
          <w:sz w:val="28"/>
          <w:szCs w:val="28"/>
        </w:rPr>
      </w:pPr>
    </w:p>
    <w:p w:rsidR="006079AD" w:rsidRDefault="00EC327B">
      <w:pPr>
        <w:spacing w:line="360" w:lineRule="auto"/>
        <w:ind w:firstLineChars="200" w:firstLine="560"/>
        <w:rPr>
          <w:rFonts w:ascii="Times New Roman" w:hAnsi="Times New Roman"/>
          <w:sz w:val="28"/>
          <w:szCs w:val="28"/>
        </w:rPr>
      </w:pPr>
      <w:r>
        <w:rPr>
          <w:rFonts w:ascii="Times New Roman" w:hAnsi="Times New Roman"/>
          <w:sz w:val="28"/>
          <w:szCs w:val="28"/>
        </w:rPr>
        <w:t>为满足城市发展用地需求，规范征地程序，保障被征地农民合法权益</w:t>
      </w:r>
      <w:r>
        <w:rPr>
          <w:rFonts w:ascii="Times New Roman" w:hAnsi="Times New Roman" w:hint="eastAsia"/>
          <w:sz w:val="28"/>
          <w:szCs w:val="28"/>
        </w:rPr>
        <w:t>，</w:t>
      </w:r>
      <w:r>
        <w:rPr>
          <w:rFonts w:ascii="Times New Roman" w:hAnsi="Times New Roman"/>
          <w:sz w:val="28"/>
          <w:szCs w:val="28"/>
        </w:rPr>
        <w:t>根据《中华人民共和国土地管理法》（</w:t>
      </w:r>
      <w:r>
        <w:rPr>
          <w:rFonts w:ascii="Times New Roman" w:hAnsi="Times New Roman"/>
          <w:sz w:val="28"/>
          <w:szCs w:val="28"/>
        </w:rPr>
        <w:t>201</w:t>
      </w:r>
      <w:r>
        <w:rPr>
          <w:rFonts w:ascii="Times New Roman" w:hAnsi="Times New Roman" w:hint="eastAsia"/>
          <w:sz w:val="28"/>
          <w:szCs w:val="28"/>
        </w:rPr>
        <w:t>9</w:t>
      </w:r>
      <w:r>
        <w:rPr>
          <w:rFonts w:ascii="Times New Roman" w:hAnsi="Times New Roman"/>
          <w:sz w:val="28"/>
          <w:szCs w:val="28"/>
        </w:rPr>
        <w:t>年）</w:t>
      </w:r>
      <w:r>
        <w:rPr>
          <w:rFonts w:ascii="Times New Roman" w:hAnsi="Times New Roman" w:hint="eastAsia"/>
          <w:sz w:val="28"/>
          <w:szCs w:val="28"/>
        </w:rPr>
        <w:t>、《自然资源部关于土地征收成片开发标准（试行）》（自然资规〔</w:t>
      </w:r>
      <w:r>
        <w:rPr>
          <w:rFonts w:ascii="Times New Roman" w:hAnsi="Times New Roman" w:hint="eastAsia"/>
          <w:sz w:val="28"/>
          <w:szCs w:val="28"/>
        </w:rPr>
        <w:t>2020</w:t>
      </w:r>
      <w:r>
        <w:rPr>
          <w:rFonts w:ascii="Times New Roman" w:hAnsi="Times New Roman" w:hint="eastAsia"/>
          <w:sz w:val="28"/>
          <w:szCs w:val="28"/>
        </w:rPr>
        <w:t>〕</w:t>
      </w:r>
      <w:r>
        <w:rPr>
          <w:rFonts w:ascii="Times New Roman" w:hAnsi="Times New Roman" w:hint="eastAsia"/>
          <w:sz w:val="28"/>
          <w:szCs w:val="28"/>
        </w:rPr>
        <w:t>5</w:t>
      </w:r>
      <w:r>
        <w:rPr>
          <w:rFonts w:ascii="Times New Roman" w:hAnsi="Times New Roman" w:hint="eastAsia"/>
          <w:sz w:val="28"/>
          <w:szCs w:val="28"/>
        </w:rPr>
        <w:t>号）</w:t>
      </w:r>
      <w:r>
        <w:rPr>
          <w:rFonts w:ascii="Times New Roman" w:hAnsi="Times New Roman"/>
          <w:sz w:val="28"/>
          <w:szCs w:val="28"/>
        </w:rPr>
        <w:t>、《江苏省自然资源厅关于开展土地征收成片开发方案编制工作的通知》（苏自然资函〔</w:t>
      </w:r>
      <w:r>
        <w:rPr>
          <w:rFonts w:ascii="Times New Roman" w:hAnsi="Times New Roman"/>
          <w:sz w:val="28"/>
          <w:szCs w:val="28"/>
        </w:rPr>
        <w:t>2021</w:t>
      </w:r>
      <w:r>
        <w:rPr>
          <w:rFonts w:ascii="Times New Roman" w:hAnsi="Times New Roman"/>
          <w:sz w:val="28"/>
          <w:szCs w:val="28"/>
        </w:rPr>
        <w:t>〕</w:t>
      </w:r>
      <w:r>
        <w:rPr>
          <w:rFonts w:ascii="Times New Roman" w:hAnsi="Times New Roman"/>
          <w:sz w:val="28"/>
          <w:szCs w:val="28"/>
        </w:rPr>
        <w:t xml:space="preserve">15 </w:t>
      </w:r>
      <w:r>
        <w:rPr>
          <w:rFonts w:ascii="Times New Roman" w:hAnsi="Times New Roman"/>
          <w:sz w:val="28"/>
          <w:szCs w:val="28"/>
        </w:rPr>
        <w:t>号）、</w:t>
      </w:r>
      <w:r>
        <w:rPr>
          <w:rFonts w:ascii="Times New Roman" w:hAnsi="Times New Roman" w:hint="eastAsia"/>
          <w:sz w:val="28"/>
          <w:szCs w:val="28"/>
        </w:rPr>
        <w:t>《</w:t>
      </w:r>
      <w:r>
        <w:rPr>
          <w:rFonts w:ascii="Times New Roman" w:hAnsi="Times New Roman"/>
          <w:sz w:val="28"/>
          <w:szCs w:val="28"/>
        </w:rPr>
        <w:t>省政府关于印发江苏省被征地农民社会保障办法的通知</w:t>
      </w:r>
      <w:r>
        <w:rPr>
          <w:rFonts w:ascii="Times New Roman" w:hAnsi="Times New Roman" w:hint="eastAsia"/>
          <w:sz w:val="28"/>
          <w:szCs w:val="28"/>
        </w:rPr>
        <w:t>》</w:t>
      </w:r>
      <w:r>
        <w:rPr>
          <w:rFonts w:ascii="Times New Roman" w:hAnsi="Times New Roman"/>
          <w:sz w:val="28"/>
          <w:szCs w:val="28"/>
        </w:rPr>
        <w:t>（苏政发〔</w:t>
      </w:r>
      <w:r>
        <w:rPr>
          <w:rFonts w:ascii="Times New Roman" w:hAnsi="Times New Roman"/>
          <w:sz w:val="28"/>
          <w:szCs w:val="28"/>
        </w:rPr>
        <w:t>2021</w:t>
      </w:r>
      <w:r>
        <w:rPr>
          <w:rFonts w:ascii="Times New Roman" w:hAnsi="Times New Roman"/>
          <w:sz w:val="28"/>
          <w:szCs w:val="28"/>
        </w:rPr>
        <w:t>〕</w:t>
      </w:r>
      <w:r>
        <w:rPr>
          <w:rFonts w:ascii="Times New Roman" w:hAnsi="Times New Roman"/>
          <w:sz w:val="28"/>
          <w:szCs w:val="28"/>
        </w:rPr>
        <w:t>87</w:t>
      </w:r>
      <w:r>
        <w:rPr>
          <w:rFonts w:ascii="Times New Roman" w:hAnsi="Times New Roman"/>
          <w:sz w:val="28"/>
          <w:szCs w:val="28"/>
        </w:rPr>
        <w:t>号）、《盐城市人民政府关于公布盐城市市区征地区片综合地价执行标准的通知》（盐政发〔</w:t>
      </w:r>
      <w:r>
        <w:rPr>
          <w:rFonts w:ascii="Times New Roman" w:hAnsi="Times New Roman"/>
          <w:sz w:val="28"/>
          <w:szCs w:val="28"/>
        </w:rPr>
        <w:t>2020</w:t>
      </w:r>
      <w:r>
        <w:rPr>
          <w:rFonts w:ascii="Times New Roman" w:hAnsi="Times New Roman"/>
          <w:sz w:val="28"/>
          <w:szCs w:val="28"/>
        </w:rPr>
        <w:t>〕</w:t>
      </w:r>
      <w:r>
        <w:rPr>
          <w:rFonts w:ascii="Times New Roman" w:hAnsi="Times New Roman"/>
          <w:sz w:val="28"/>
          <w:szCs w:val="28"/>
        </w:rPr>
        <w:t xml:space="preserve">61 </w:t>
      </w:r>
      <w:r>
        <w:rPr>
          <w:rFonts w:ascii="Times New Roman" w:hAnsi="Times New Roman"/>
          <w:sz w:val="28"/>
          <w:szCs w:val="28"/>
        </w:rPr>
        <w:t>号）、</w:t>
      </w:r>
      <w:r>
        <w:rPr>
          <w:rFonts w:ascii="Times New Roman" w:hAnsi="Times New Roman" w:hint="eastAsia"/>
          <w:sz w:val="28"/>
          <w:szCs w:val="28"/>
        </w:rPr>
        <w:t>《盐城市人民政府关于印发盐城市被征地农民社会保障实施办法的通知》（盐政规发</w:t>
      </w:r>
      <w:r>
        <w:rPr>
          <w:rFonts w:ascii="Times New Roman" w:hAnsi="Times New Roman"/>
          <w:sz w:val="28"/>
          <w:szCs w:val="28"/>
        </w:rPr>
        <w:t>〔</w:t>
      </w:r>
      <w:r>
        <w:rPr>
          <w:rFonts w:ascii="Times New Roman" w:hAnsi="Times New Roman" w:hint="eastAsia"/>
          <w:sz w:val="28"/>
          <w:szCs w:val="28"/>
        </w:rPr>
        <w:t>2022</w:t>
      </w:r>
      <w:r>
        <w:rPr>
          <w:rFonts w:ascii="Times New Roman" w:hAnsi="Times New Roman"/>
          <w:sz w:val="28"/>
          <w:szCs w:val="28"/>
        </w:rPr>
        <w:t>〕</w:t>
      </w:r>
      <w:r>
        <w:rPr>
          <w:rFonts w:ascii="Times New Roman" w:hAnsi="Times New Roman" w:hint="eastAsia"/>
          <w:sz w:val="28"/>
          <w:szCs w:val="28"/>
        </w:rPr>
        <w:t>4</w:t>
      </w:r>
      <w:r>
        <w:rPr>
          <w:rFonts w:ascii="Times New Roman" w:hAnsi="Times New Roman" w:hint="eastAsia"/>
          <w:sz w:val="28"/>
          <w:szCs w:val="28"/>
        </w:rPr>
        <w:t>号）</w:t>
      </w:r>
      <w:r>
        <w:rPr>
          <w:rFonts w:ascii="Times New Roman" w:hAnsi="Times New Roman"/>
          <w:sz w:val="28"/>
          <w:szCs w:val="28"/>
        </w:rPr>
        <w:t>等政策规定，</w:t>
      </w:r>
      <w:r>
        <w:rPr>
          <w:rFonts w:ascii="Times New Roman" w:hAnsi="Times New Roman" w:hint="eastAsia"/>
          <w:sz w:val="28"/>
          <w:szCs w:val="28"/>
        </w:rPr>
        <w:t>盐城市亭湖区人民政府</w:t>
      </w:r>
      <w:r>
        <w:rPr>
          <w:rFonts w:ascii="Times New Roman" w:hAnsi="Times New Roman"/>
          <w:sz w:val="28"/>
          <w:szCs w:val="28"/>
        </w:rPr>
        <w:t>组织编制了</w:t>
      </w:r>
      <w:r>
        <w:rPr>
          <w:rFonts w:ascii="Times New Roman" w:hAnsi="Times New Roman" w:hint="eastAsia"/>
          <w:sz w:val="28"/>
          <w:szCs w:val="28"/>
        </w:rPr>
        <w:t>《盐城市亭湖区</w:t>
      </w:r>
      <w:r>
        <w:rPr>
          <w:rFonts w:ascii="Times New Roman" w:hAnsi="Times New Roman" w:hint="eastAsia"/>
          <w:sz w:val="28"/>
          <w:szCs w:val="28"/>
        </w:rPr>
        <w:t>2023-04</w:t>
      </w:r>
      <w:r>
        <w:rPr>
          <w:rFonts w:ascii="Times New Roman" w:hAnsi="Times New Roman" w:hint="eastAsia"/>
          <w:sz w:val="28"/>
          <w:szCs w:val="28"/>
        </w:rPr>
        <w:t>号土地征收成片开发方案》</w:t>
      </w:r>
      <w:r>
        <w:rPr>
          <w:rFonts w:ascii="Times New Roman" w:hAnsi="Times New Roman"/>
          <w:sz w:val="28"/>
          <w:szCs w:val="28"/>
        </w:rPr>
        <w:t>。现公示如下：</w:t>
      </w:r>
    </w:p>
    <w:p w:rsidR="006079AD" w:rsidRDefault="00EC327B">
      <w:pPr>
        <w:spacing w:line="360" w:lineRule="auto"/>
        <w:ind w:firstLineChars="200" w:firstLine="562"/>
        <w:jc w:val="left"/>
        <w:rPr>
          <w:rFonts w:ascii="Times New Roman" w:hAnsi="Times New Roman"/>
          <w:b/>
          <w:bCs/>
          <w:sz w:val="28"/>
          <w:szCs w:val="28"/>
        </w:rPr>
      </w:pPr>
      <w:r>
        <w:rPr>
          <w:rFonts w:ascii="Times New Roman" w:hAnsi="Times New Roman" w:hint="eastAsia"/>
          <w:b/>
          <w:bCs/>
          <w:sz w:val="28"/>
          <w:szCs w:val="28"/>
        </w:rPr>
        <w:t>一、片区基本情况</w:t>
      </w:r>
    </w:p>
    <w:p w:rsidR="006079AD" w:rsidRDefault="00EC327B">
      <w:pPr>
        <w:spacing w:line="360" w:lineRule="auto"/>
        <w:ind w:firstLineChars="200" w:firstLine="560"/>
        <w:rPr>
          <w:rFonts w:ascii="Times New Roman" w:hAnsi="Times New Roman"/>
          <w:sz w:val="28"/>
          <w:szCs w:val="28"/>
        </w:rPr>
      </w:pPr>
      <w:r>
        <w:rPr>
          <w:rFonts w:ascii="Times New Roman" w:hAnsi="Times New Roman"/>
          <w:sz w:val="28"/>
          <w:szCs w:val="28"/>
        </w:rPr>
        <w:t>本方案</w:t>
      </w:r>
      <w:r>
        <w:rPr>
          <w:rFonts w:ascii="Times New Roman" w:hAnsi="Times New Roman" w:hint="eastAsia"/>
          <w:sz w:val="28"/>
          <w:szCs w:val="28"/>
        </w:rPr>
        <w:t>全部位于宝瓶湖街道</w:t>
      </w:r>
      <w:r>
        <w:rPr>
          <w:rFonts w:ascii="Times New Roman" w:hAnsi="Times New Roman"/>
          <w:sz w:val="28"/>
          <w:szCs w:val="28"/>
        </w:rPr>
        <w:t>，包括</w:t>
      </w:r>
      <w:r>
        <w:rPr>
          <w:rFonts w:ascii="Times New Roman" w:hAnsi="Times New Roman" w:hint="eastAsia"/>
          <w:sz w:val="28"/>
          <w:szCs w:val="28"/>
        </w:rPr>
        <w:t>一</w:t>
      </w:r>
      <w:r>
        <w:rPr>
          <w:rFonts w:ascii="Times New Roman" w:hAnsi="Times New Roman"/>
          <w:sz w:val="28"/>
          <w:szCs w:val="28"/>
        </w:rPr>
        <w:t>个片区</w:t>
      </w:r>
      <w:r>
        <w:rPr>
          <w:rFonts w:ascii="Times New Roman" w:hAnsi="Times New Roman" w:hint="eastAsia"/>
          <w:sz w:val="28"/>
          <w:szCs w:val="28"/>
        </w:rPr>
        <w:t>，为：环科城片区，</w:t>
      </w:r>
      <w:r>
        <w:rPr>
          <w:rFonts w:ascii="Times New Roman" w:hAnsi="Times New Roman"/>
          <w:sz w:val="28"/>
          <w:szCs w:val="28"/>
        </w:rPr>
        <w:t>开发片区范</w:t>
      </w:r>
      <w:r>
        <w:rPr>
          <w:rFonts w:ascii="Times New Roman" w:hAnsi="Times New Roman"/>
          <w:sz w:val="28"/>
          <w:szCs w:val="28"/>
        </w:rPr>
        <w:t>围总面积</w:t>
      </w:r>
      <w:r>
        <w:rPr>
          <w:rFonts w:ascii="宋体" w:hAnsi="宋体" w:cs="宋体" w:hint="eastAsia"/>
          <w:sz w:val="30"/>
          <w:szCs w:val="30"/>
        </w:rPr>
        <w:t>39.6403</w:t>
      </w:r>
      <w:r>
        <w:rPr>
          <w:rFonts w:ascii="Times New Roman" w:hAnsi="Times New Roman"/>
          <w:sz w:val="28"/>
          <w:szCs w:val="28"/>
        </w:rPr>
        <w:t>公</w:t>
      </w:r>
      <w:r>
        <w:rPr>
          <w:rFonts w:ascii="Times New Roman" w:hAnsi="Times New Roman"/>
          <w:sz w:val="28"/>
          <w:szCs w:val="28"/>
        </w:rPr>
        <w:t>顷（成片开发范围以最终批复为准）</w:t>
      </w:r>
      <w:r>
        <w:rPr>
          <w:rFonts w:ascii="Times New Roman" w:hAnsi="Times New Roman" w:hint="eastAsia"/>
          <w:sz w:val="28"/>
          <w:szCs w:val="28"/>
        </w:rPr>
        <w:t>，片区为工业主导型片区</w:t>
      </w:r>
      <w:r>
        <w:rPr>
          <w:rFonts w:ascii="Times New Roman" w:hAnsi="Times New Roman"/>
          <w:sz w:val="28"/>
          <w:szCs w:val="28"/>
        </w:rPr>
        <w:t>。</w:t>
      </w:r>
    </w:p>
    <w:p w:rsidR="006079AD" w:rsidRDefault="00EC327B">
      <w:pPr>
        <w:spacing w:line="360" w:lineRule="auto"/>
        <w:ind w:firstLineChars="200" w:firstLine="562"/>
        <w:jc w:val="left"/>
        <w:rPr>
          <w:rFonts w:ascii="Times New Roman" w:hAnsi="Times New Roman"/>
          <w:b/>
          <w:bCs/>
          <w:sz w:val="28"/>
          <w:szCs w:val="28"/>
        </w:rPr>
      </w:pPr>
      <w:r>
        <w:rPr>
          <w:rFonts w:ascii="Times New Roman" w:hAnsi="Times New Roman" w:hint="eastAsia"/>
          <w:b/>
          <w:bCs/>
          <w:sz w:val="28"/>
          <w:szCs w:val="28"/>
        </w:rPr>
        <w:t>二、成片开发的必要性</w:t>
      </w:r>
    </w:p>
    <w:p w:rsidR="006079AD" w:rsidRDefault="00EC327B">
      <w:pPr>
        <w:spacing w:line="360" w:lineRule="auto"/>
        <w:ind w:firstLineChars="200" w:firstLine="560"/>
        <w:rPr>
          <w:rFonts w:ascii="Times New Roman" w:hAnsi="Times New Roman"/>
          <w:sz w:val="28"/>
          <w:szCs w:val="28"/>
        </w:rPr>
      </w:pPr>
      <w:r>
        <w:rPr>
          <w:rFonts w:ascii="Times New Roman" w:hAnsi="Times New Roman" w:hint="eastAsia"/>
          <w:sz w:val="28"/>
          <w:szCs w:val="28"/>
        </w:rPr>
        <w:t>环科城片区位于盐城环保科技城范围内。开发片区的划定，对环保科技城的发展起到重要的推动作用，在产业集聚发展，拉动经济增长、促进劳动力就业等各方面将起到重要的作用。</w:t>
      </w:r>
    </w:p>
    <w:p w:rsidR="006079AD" w:rsidRDefault="00EC327B">
      <w:pPr>
        <w:spacing w:line="360" w:lineRule="auto"/>
        <w:ind w:firstLineChars="200" w:firstLine="560"/>
        <w:rPr>
          <w:rFonts w:ascii="Times New Roman" w:hAnsi="Times New Roman"/>
          <w:sz w:val="28"/>
          <w:szCs w:val="28"/>
        </w:rPr>
      </w:pPr>
      <w:r>
        <w:rPr>
          <w:rFonts w:ascii="Times New Roman" w:hAnsi="Times New Roman"/>
          <w:sz w:val="28"/>
          <w:szCs w:val="28"/>
        </w:rPr>
        <w:lastRenderedPageBreak/>
        <w:t>规划本地段是</w:t>
      </w:r>
      <w:r>
        <w:rPr>
          <w:rFonts w:ascii="Times New Roman" w:hAnsi="Times New Roman" w:hint="eastAsia"/>
          <w:sz w:val="28"/>
          <w:szCs w:val="28"/>
        </w:rPr>
        <w:t>宝瓶湖街道</w:t>
      </w:r>
      <w:r>
        <w:rPr>
          <w:rFonts w:ascii="Times New Roman" w:hAnsi="Times New Roman"/>
          <w:sz w:val="28"/>
          <w:szCs w:val="28"/>
        </w:rPr>
        <w:t>乃至全区重点打造的工业园区，是兼顾居住、办公等功能的经济园区，招引项目更注重结合自身定位，由招商引资向选商引资、选商引税转变，更加关注项目的质量，引进处于产业链前端和价值链高端的大企业、好项目。通过土地征收成片开发方案的编制将有序推动片区内的地块开发时序，控制地块开发面积，使其更具规范性、合理性，有效促进</w:t>
      </w:r>
      <w:r>
        <w:rPr>
          <w:rFonts w:ascii="Times New Roman" w:hAnsi="Times New Roman"/>
          <w:sz w:val="28"/>
          <w:szCs w:val="28"/>
        </w:rPr>
        <w:t>盐城市亭湖区产业布局用地的节约集约利用。</w:t>
      </w:r>
    </w:p>
    <w:p w:rsidR="006079AD" w:rsidRDefault="00EC327B">
      <w:pPr>
        <w:spacing w:line="360" w:lineRule="auto"/>
        <w:ind w:firstLineChars="200" w:firstLine="562"/>
        <w:jc w:val="left"/>
        <w:rPr>
          <w:rFonts w:ascii="Times New Roman" w:hAnsi="Times New Roman"/>
          <w:b/>
          <w:bCs/>
          <w:sz w:val="28"/>
          <w:szCs w:val="28"/>
        </w:rPr>
      </w:pPr>
      <w:r>
        <w:rPr>
          <w:rFonts w:ascii="Times New Roman" w:hAnsi="Times New Roman" w:hint="eastAsia"/>
          <w:b/>
          <w:bCs/>
          <w:sz w:val="28"/>
          <w:szCs w:val="28"/>
        </w:rPr>
        <w:t>三、公益性用地</w:t>
      </w:r>
    </w:p>
    <w:p w:rsidR="006079AD" w:rsidRDefault="00EC327B">
      <w:pPr>
        <w:spacing w:line="360" w:lineRule="auto"/>
        <w:ind w:firstLineChars="200" w:firstLine="560"/>
        <w:rPr>
          <w:rFonts w:ascii="Times New Roman" w:hAnsi="Times New Roman"/>
          <w:sz w:val="28"/>
          <w:szCs w:val="28"/>
        </w:rPr>
      </w:pPr>
      <w:r>
        <w:rPr>
          <w:rFonts w:ascii="Times New Roman" w:hAnsi="Times New Roman"/>
          <w:sz w:val="28"/>
          <w:szCs w:val="28"/>
        </w:rPr>
        <w:t>片区内</w:t>
      </w:r>
      <w:r>
        <w:rPr>
          <w:rFonts w:ascii="Times New Roman" w:hAnsi="Times New Roman" w:hint="eastAsia"/>
          <w:sz w:val="28"/>
          <w:szCs w:val="28"/>
        </w:rPr>
        <w:t>公共管理与公共服务设施用地</w:t>
      </w:r>
      <w:r>
        <w:rPr>
          <w:rFonts w:ascii="Times New Roman" w:hAnsi="Times New Roman"/>
          <w:sz w:val="28"/>
          <w:szCs w:val="28"/>
        </w:rPr>
        <w:t>、绿地与广场用地、道路与交通设施用地属于公益性用地，</w:t>
      </w:r>
      <w:r>
        <w:rPr>
          <w:rFonts w:ascii="Times New Roman" w:hAnsi="Times New Roman" w:hint="eastAsia"/>
          <w:sz w:val="28"/>
          <w:szCs w:val="28"/>
        </w:rPr>
        <w:t>划定的</w:t>
      </w:r>
      <w:r>
        <w:rPr>
          <w:rFonts w:ascii="Times New Roman" w:hAnsi="Times New Roman" w:hint="eastAsia"/>
          <w:sz w:val="28"/>
          <w:szCs w:val="28"/>
        </w:rPr>
        <w:t>1</w:t>
      </w:r>
      <w:r>
        <w:rPr>
          <w:rFonts w:ascii="Times New Roman" w:hAnsi="Times New Roman"/>
          <w:sz w:val="28"/>
          <w:szCs w:val="28"/>
        </w:rPr>
        <w:t>个片区</w:t>
      </w:r>
      <w:r>
        <w:rPr>
          <w:rFonts w:ascii="Times New Roman" w:hAnsi="Times New Roman" w:hint="eastAsia"/>
          <w:sz w:val="28"/>
          <w:szCs w:val="28"/>
        </w:rPr>
        <w:t>内，环科城片区</w:t>
      </w:r>
      <w:r>
        <w:rPr>
          <w:rFonts w:ascii="Times New Roman" w:hAnsi="Times New Roman"/>
          <w:sz w:val="28"/>
          <w:szCs w:val="28"/>
        </w:rPr>
        <w:t>工矿用地、仓储用地面积均占片区总面积</w:t>
      </w:r>
      <w:r>
        <w:rPr>
          <w:rFonts w:ascii="Times New Roman" w:hAnsi="Times New Roman"/>
          <w:sz w:val="28"/>
          <w:szCs w:val="28"/>
        </w:rPr>
        <w:t>60%</w:t>
      </w:r>
      <w:r>
        <w:rPr>
          <w:rFonts w:ascii="Times New Roman" w:hAnsi="Times New Roman"/>
          <w:sz w:val="28"/>
          <w:szCs w:val="28"/>
        </w:rPr>
        <w:t>以上，公益性用地比例均达到</w:t>
      </w:r>
      <w:r>
        <w:rPr>
          <w:rFonts w:ascii="Times New Roman" w:hAnsi="Times New Roman"/>
          <w:sz w:val="28"/>
          <w:szCs w:val="28"/>
        </w:rPr>
        <w:t>25%</w:t>
      </w:r>
      <w:r>
        <w:rPr>
          <w:rFonts w:ascii="Times New Roman" w:hAnsi="Times New Roman"/>
          <w:sz w:val="28"/>
          <w:szCs w:val="28"/>
        </w:rPr>
        <w:t>以上，满足《江苏省土地征收成片开发方案编制指南》（试行）的要求。</w:t>
      </w:r>
    </w:p>
    <w:p w:rsidR="006079AD" w:rsidRDefault="00EC327B">
      <w:pPr>
        <w:spacing w:line="360" w:lineRule="auto"/>
        <w:ind w:firstLineChars="200" w:firstLine="562"/>
        <w:jc w:val="left"/>
        <w:rPr>
          <w:rFonts w:ascii="Times New Roman" w:hAnsi="Times New Roman"/>
          <w:b/>
          <w:bCs/>
          <w:sz w:val="28"/>
          <w:szCs w:val="28"/>
        </w:rPr>
      </w:pPr>
      <w:r>
        <w:rPr>
          <w:rFonts w:ascii="Times New Roman" w:hAnsi="Times New Roman" w:hint="eastAsia"/>
          <w:b/>
          <w:bCs/>
          <w:sz w:val="28"/>
          <w:szCs w:val="28"/>
        </w:rPr>
        <w:t>四、规划符合情况</w:t>
      </w:r>
    </w:p>
    <w:p w:rsidR="006079AD" w:rsidRDefault="00EC327B">
      <w:pPr>
        <w:spacing w:line="360" w:lineRule="auto"/>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、本方案符合国民经济和社会发展规划的发展定位要求，已纳入国民经济和社会发展年度计划。</w:t>
      </w:r>
    </w:p>
    <w:p w:rsidR="006079AD" w:rsidRDefault="00EC327B">
      <w:pPr>
        <w:spacing w:line="360" w:lineRule="auto"/>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、成片开发范围</w:t>
      </w:r>
      <w:r>
        <w:rPr>
          <w:rFonts w:ascii="Times New Roman" w:hAnsi="Times New Roman" w:hint="eastAsia"/>
          <w:sz w:val="28"/>
          <w:szCs w:val="28"/>
        </w:rPr>
        <w:t>全部</w:t>
      </w:r>
      <w:r>
        <w:rPr>
          <w:rFonts w:ascii="Times New Roman" w:hAnsi="Times New Roman"/>
          <w:sz w:val="28"/>
          <w:szCs w:val="28"/>
        </w:rPr>
        <w:t>位于城镇开发边界内。</w:t>
      </w:r>
    </w:p>
    <w:p w:rsidR="006079AD" w:rsidRDefault="00EC327B">
      <w:pPr>
        <w:spacing w:line="360" w:lineRule="auto"/>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、成片开发范围基本位于《</w:t>
      </w:r>
      <w:r>
        <w:rPr>
          <w:rFonts w:ascii="Times New Roman" w:hAnsi="Times New Roman" w:hint="eastAsia"/>
          <w:sz w:val="28"/>
          <w:szCs w:val="28"/>
        </w:rPr>
        <w:t>2023</w:t>
      </w:r>
      <w:r>
        <w:rPr>
          <w:rFonts w:ascii="Times New Roman" w:hAnsi="Times New Roman" w:hint="eastAsia"/>
          <w:sz w:val="28"/>
          <w:szCs w:val="28"/>
        </w:rPr>
        <w:t>年度盐城市亭湖区预支</w:t>
      </w:r>
      <w:r>
        <w:rPr>
          <w:rFonts w:ascii="Times New Roman" w:hAnsi="Times New Roman" w:hint="eastAsia"/>
          <w:sz w:val="28"/>
          <w:szCs w:val="28"/>
        </w:rPr>
        <w:t>空间规模指标落地上图</w:t>
      </w:r>
      <w:r>
        <w:rPr>
          <w:rFonts w:ascii="Times New Roman" w:hAnsi="Times New Roman"/>
          <w:sz w:val="28"/>
          <w:szCs w:val="28"/>
        </w:rPr>
        <w:t>方案》的允许建设区内，不在允许建设区内的承诺在国土空间总体规划中予以落实规划新增建设用地指标。</w:t>
      </w:r>
    </w:p>
    <w:p w:rsidR="006079AD" w:rsidRDefault="00EC327B">
      <w:pPr>
        <w:spacing w:line="360" w:lineRule="auto"/>
        <w:ind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、根据相关规划，片区规划地类包括居住用地、工业用地、道路与交通设施用地、公共管理与公共服务设施用地、绿地与广场用地</w:t>
      </w:r>
      <w:r>
        <w:rPr>
          <w:rFonts w:ascii="Times New Roman" w:hAnsi="Times New Roman"/>
          <w:sz w:val="28"/>
          <w:szCs w:val="28"/>
        </w:rPr>
        <w:lastRenderedPageBreak/>
        <w:t>等，本方案符合控制性详细规划。</w:t>
      </w:r>
    </w:p>
    <w:p w:rsidR="006079AD" w:rsidRDefault="00EC327B">
      <w:pPr>
        <w:spacing w:line="360" w:lineRule="auto"/>
        <w:ind w:firstLineChars="200" w:firstLine="562"/>
        <w:rPr>
          <w:rFonts w:ascii="Times New Roman" w:hAnsi="Times New Roman"/>
          <w:b/>
          <w:bCs/>
          <w:sz w:val="28"/>
          <w:szCs w:val="28"/>
        </w:rPr>
      </w:pPr>
      <w:r>
        <w:rPr>
          <w:rFonts w:ascii="Times New Roman" w:hAnsi="Times New Roman" w:hint="eastAsia"/>
          <w:b/>
          <w:bCs/>
          <w:sz w:val="28"/>
          <w:szCs w:val="28"/>
        </w:rPr>
        <w:t>五、永久基本农田及生态保护情况</w:t>
      </w:r>
    </w:p>
    <w:p w:rsidR="006079AD" w:rsidRDefault="00EC327B">
      <w:pPr>
        <w:spacing w:line="360" w:lineRule="auto"/>
        <w:ind w:firstLineChars="200" w:firstLine="560"/>
        <w:rPr>
          <w:rFonts w:ascii="Times New Roman" w:hAnsi="Times New Roman"/>
          <w:sz w:val="28"/>
          <w:szCs w:val="28"/>
        </w:rPr>
      </w:pPr>
      <w:r>
        <w:rPr>
          <w:rFonts w:ascii="Times New Roman" w:hAnsi="Times New Roman" w:hint="eastAsia"/>
          <w:sz w:val="28"/>
          <w:szCs w:val="28"/>
        </w:rPr>
        <w:t>本方案不涉及永久基本农田和生态保护红线，也不涉及省级生态空间管控区。</w:t>
      </w:r>
    </w:p>
    <w:p w:rsidR="006079AD" w:rsidRDefault="00EC327B">
      <w:pPr>
        <w:spacing w:line="360" w:lineRule="auto"/>
        <w:ind w:firstLineChars="200" w:firstLine="562"/>
        <w:rPr>
          <w:rFonts w:ascii="Times New Roman" w:hAnsi="Times New Roman"/>
          <w:b/>
          <w:bCs/>
          <w:sz w:val="28"/>
          <w:szCs w:val="28"/>
        </w:rPr>
      </w:pPr>
      <w:r>
        <w:rPr>
          <w:rFonts w:ascii="Times New Roman" w:hAnsi="Times New Roman" w:hint="eastAsia"/>
          <w:b/>
          <w:bCs/>
          <w:sz w:val="28"/>
          <w:szCs w:val="28"/>
        </w:rPr>
        <w:t>六、拟建项目、开发时序和实施计划</w:t>
      </w:r>
    </w:p>
    <w:p w:rsidR="006079AD" w:rsidRDefault="00EC327B">
      <w:pPr>
        <w:spacing w:line="360" w:lineRule="auto"/>
        <w:ind w:firstLineChars="200" w:firstLine="560"/>
        <w:rPr>
          <w:rFonts w:ascii="Times New Roman" w:hAnsi="Times New Roman"/>
          <w:sz w:val="28"/>
          <w:szCs w:val="28"/>
        </w:rPr>
      </w:pPr>
      <w:r>
        <w:rPr>
          <w:rFonts w:ascii="Times New Roman" w:hAnsi="Times New Roman"/>
          <w:sz w:val="28"/>
          <w:szCs w:val="28"/>
        </w:rPr>
        <w:t>成片开发范围内拟建设项目以</w:t>
      </w:r>
      <w:r>
        <w:rPr>
          <w:rFonts w:ascii="Times New Roman" w:hAnsi="Times New Roman" w:hint="eastAsia"/>
          <w:sz w:val="28"/>
          <w:szCs w:val="28"/>
        </w:rPr>
        <w:t>工业</w:t>
      </w:r>
      <w:r>
        <w:rPr>
          <w:rFonts w:ascii="Times New Roman" w:hAnsi="Times New Roman"/>
          <w:sz w:val="28"/>
          <w:szCs w:val="28"/>
        </w:rPr>
        <w:t>项目为主，配套建设基础设施、公共服务类项目，计划在</w:t>
      </w:r>
      <w:r>
        <w:rPr>
          <w:rFonts w:ascii="Times New Roman" w:hAnsi="Times New Roman"/>
          <w:sz w:val="28"/>
          <w:szCs w:val="28"/>
        </w:rPr>
        <w:t>202</w:t>
      </w:r>
      <w:r>
        <w:rPr>
          <w:rFonts w:ascii="Times New Roman" w:hAnsi="Times New Roman" w:hint="eastAsia"/>
          <w:sz w:val="28"/>
          <w:szCs w:val="28"/>
        </w:rPr>
        <w:t>3</w:t>
      </w:r>
      <w:r>
        <w:rPr>
          <w:rFonts w:ascii="Times New Roman" w:hAnsi="Times New Roman"/>
          <w:sz w:val="28"/>
          <w:szCs w:val="28"/>
        </w:rPr>
        <w:t>至</w:t>
      </w:r>
      <w:r>
        <w:rPr>
          <w:rFonts w:ascii="Times New Roman" w:hAnsi="Times New Roman"/>
          <w:sz w:val="28"/>
          <w:szCs w:val="28"/>
        </w:rPr>
        <w:t>202</w:t>
      </w:r>
      <w:r>
        <w:rPr>
          <w:rFonts w:ascii="Times New Roman" w:hAnsi="Times New Roman" w:hint="eastAsia"/>
          <w:sz w:val="28"/>
          <w:szCs w:val="28"/>
        </w:rPr>
        <w:t>6</w:t>
      </w:r>
      <w:r>
        <w:rPr>
          <w:rFonts w:ascii="Times New Roman" w:hAnsi="Times New Roman"/>
          <w:sz w:val="28"/>
          <w:szCs w:val="28"/>
        </w:rPr>
        <w:t>年分批次启动土</w:t>
      </w:r>
      <w:r>
        <w:rPr>
          <w:rFonts w:ascii="Times New Roman" w:hAnsi="Times New Roman"/>
          <w:sz w:val="28"/>
          <w:szCs w:val="28"/>
        </w:rPr>
        <w:t>地征收工作。</w:t>
      </w:r>
    </w:p>
    <w:p w:rsidR="006079AD" w:rsidRDefault="00EC327B">
      <w:pPr>
        <w:spacing w:line="360" w:lineRule="auto"/>
        <w:ind w:firstLineChars="200" w:firstLine="562"/>
        <w:rPr>
          <w:rFonts w:ascii="Times New Roman" w:hAnsi="Times New Roman"/>
          <w:b/>
          <w:bCs/>
          <w:sz w:val="28"/>
          <w:szCs w:val="28"/>
        </w:rPr>
      </w:pPr>
      <w:r>
        <w:rPr>
          <w:rFonts w:ascii="Times New Roman" w:hAnsi="Times New Roman" w:hint="eastAsia"/>
          <w:b/>
          <w:bCs/>
          <w:sz w:val="28"/>
          <w:szCs w:val="28"/>
        </w:rPr>
        <w:t>七、征地农民利益保障</w:t>
      </w:r>
    </w:p>
    <w:p w:rsidR="006079AD" w:rsidRDefault="00EC327B">
      <w:pPr>
        <w:spacing w:line="360" w:lineRule="auto"/>
        <w:ind w:firstLineChars="200" w:firstLine="560"/>
        <w:rPr>
          <w:rFonts w:ascii="Times New Roman" w:hAnsi="Times New Roman"/>
          <w:sz w:val="28"/>
          <w:szCs w:val="28"/>
        </w:rPr>
      </w:pPr>
      <w:r>
        <w:rPr>
          <w:rFonts w:ascii="Times New Roman" w:hAnsi="Times New Roman"/>
          <w:sz w:val="28"/>
          <w:szCs w:val="28"/>
        </w:rPr>
        <w:t>为维护被征地农民和农村集体经济组织的合法权益，规范征地补偿程序，根据</w:t>
      </w:r>
      <w:r>
        <w:rPr>
          <w:rFonts w:ascii="Times New Roman" w:hAnsi="Times New Roman" w:hint="eastAsia"/>
          <w:sz w:val="28"/>
          <w:szCs w:val="28"/>
        </w:rPr>
        <w:t>《</w:t>
      </w:r>
      <w:r>
        <w:rPr>
          <w:rFonts w:ascii="Times New Roman" w:hAnsi="Times New Roman"/>
          <w:sz w:val="28"/>
          <w:szCs w:val="28"/>
        </w:rPr>
        <w:t>省政府关于印发江苏省被征地农民社会保障办法的通知</w:t>
      </w:r>
      <w:r>
        <w:rPr>
          <w:rFonts w:ascii="Times New Roman" w:hAnsi="Times New Roman" w:hint="eastAsia"/>
          <w:sz w:val="28"/>
          <w:szCs w:val="28"/>
        </w:rPr>
        <w:t>》</w:t>
      </w:r>
      <w:r>
        <w:rPr>
          <w:rFonts w:ascii="Times New Roman" w:hAnsi="Times New Roman"/>
          <w:sz w:val="28"/>
          <w:szCs w:val="28"/>
        </w:rPr>
        <w:t>（苏政发〔</w:t>
      </w:r>
      <w:r>
        <w:rPr>
          <w:rFonts w:ascii="Times New Roman" w:hAnsi="Times New Roman"/>
          <w:sz w:val="28"/>
          <w:szCs w:val="28"/>
        </w:rPr>
        <w:t>2021</w:t>
      </w:r>
      <w:r>
        <w:rPr>
          <w:rFonts w:ascii="Times New Roman" w:hAnsi="Times New Roman"/>
          <w:sz w:val="28"/>
          <w:szCs w:val="28"/>
        </w:rPr>
        <w:t>〕</w:t>
      </w:r>
      <w:r>
        <w:rPr>
          <w:rFonts w:ascii="Times New Roman" w:hAnsi="Times New Roman"/>
          <w:sz w:val="28"/>
          <w:szCs w:val="28"/>
        </w:rPr>
        <w:t>87</w:t>
      </w:r>
      <w:r>
        <w:rPr>
          <w:rFonts w:ascii="Times New Roman" w:hAnsi="Times New Roman"/>
          <w:sz w:val="28"/>
          <w:szCs w:val="28"/>
        </w:rPr>
        <w:t>号）、《盐城市人民政府关于公布盐城市市区征地区片综合地价执行标准的通知（盐政发〔</w:t>
      </w:r>
      <w:r>
        <w:rPr>
          <w:rFonts w:ascii="Times New Roman" w:hAnsi="Times New Roman"/>
          <w:sz w:val="28"/>
          <w:szCs w:val="28"/>
        </w:rPr>
        <w:t>2020</w:t>
      </w:r>
      <w:r>
        <w:rPr>
          <w:rFonts w:ascii="Times New Roman" w:hAnsi="Times New Roman"/>
          <w:sz w:val="28"/>
          <w:szCs w:val="28"/>
        </w:rPr>
        <w:t>〕</w:t>
      </w:r>
      <w:r>
        <w:rPr>
          <w:rFonts w:ascii="Times New Roman" w:hAnsi="Times New Roman"/>
          <w:sz w:val="28"/>
          <w:szCs w:val="28"/>
        </w:rPr>
        <w:t>61</w:t>
      </w:r>
      <w:r>
        <w:rPr>
          <w:rFonts w:ascii="Times New Roman" w:hAnsi="Times New Roman"/>
          <w:sz w:val="28"/>
          <w:szCs w:val="28"/>
        </w:rPr>
        <w:t>号）</w:t>
      </w:r>
      <w:r>
        <w:rPr>
          <w:rFonts w:ascii="Times New Roman" w:hAnsi="Times New Roman" w:hint="eastAsia"/>
          <w:sz w:val="28"/>
          <w:szCs w:val="28"/>
        </w:rPr>
        <w:t>》《盐城市人民政府关于印发盐城市被征地农民社会保障实施办法的通知》（盐政规发</w:t>
      </w:r>
      <w:r>
        <w:rPr>
          <w:rFonts w:ascii="Times New Roman" w:hAnsi="Times New Roman"/>
          <w:sz w:val="28"/>
          <w:szCs w:val="28"/>
        </w:rPr>
        <w:t>〔</w:t>
      </w:r>
      <w:r>
        <w:rPr>
          <w:rFonts w:ascii="Times New Roman" w:hAnsi="Times New Roman" w:hint="eastAsia"/>
          <w:sz w:val="28"/>
          <w:szCs w:val="28"/>
        </w:rPr>
        <w:t>2022</w:t>
      </w:r>
      <w:r>
        <w:rPr>
          <w:rFonts w:ascii="Times New Roman" w:hAnsi="Times New Roman"/>
          <w:sz w:val="28"/>
          <w:szCs w:val="28"/>
        </w:rPr>
        <w:t>〕</w:t>
      </w:r>
      <w:r>
        <w:rPr>
          <w:rFonts w:ascii="Times New Roman" w:hAnsi="Times New Roman" w:hint="eastAsia"/>
          <w:sz w:val="28"/>
          <w:szCs w:val="28"/>
        </w:rPr>
        <w:t>4</w:t>
      </w:r>
      <w:r>
        <w:rPr>
          <w:rFonts w:ascii="Times New Roman" w:hAnsi="Times New Roman" w:hint="eastAsia"/>
          <w:sz w:val="28"/>
          <w:szCs w:val="28"/>
        </w:rPr>
        <w:t>号）</w:t>
      </w:r>
      <w:r>
        <w:rPr>
          <w:rFonts w:ascii="Times New Roman" w:hAnsi="Times New Roman"/>
          <w:sz w:val="28"/>
          <w:szCs w:val="28"/>
        </w:rPr>
        <w:t>等相关文件规定开展工作。</w:t>
      </w:r>
    </w:p>
    <w:p w:rsidR="006079AD" w:rsidRDefault="006079AD">
      <w:pPr>
        <w:spacing w:line="360" w:lineRule="auto"/>
        <w:ind w:firstLineChars="200" w:firstLine="560"/>
        <w:rPr>
          <w:rFonts w:ascii="Times New Roman" w:hAnsi="Times New Roman"/>
          <w:sz w:val="28"/>
          <w:szCs w:val="28"/>
        </w:rPr>
      </w:pPr>
    </w:p>
    <w:p w:rsidR="006079AD" w:rsidRDefault="00EC327B">
      <w:pPr>
        <w:spacing w:line="360" w:lineRule="auto"/>
        <w:ind w:firstLineChars="200" w:firstLine="560"/>
        <w:rPr>
          <w:rFonts w:ascii="Times New Roman" w:hAnsi="Times New Roman"/>
          <w:sz w:val="28"/>
          <w:szCs w:val="28"/>
        </w:rPr>
      </w:pPr>
      <w:r>
        <w:rPr>
          <w:rFonts w:ascii="Times New Roman" w:hAnsi="Times New Roman" w:hint="eastAsia"/>
          <w:sz w:val="28"/>
          <w:szCs w:val="28"/>
        </w:rPr>
        <w:t>接待时间：工作日</w:t>
      </w:r>
      <w:r>
        <w:rPr>
          <w:rFonts w:ascii="Times New Roman" w:hAnsi="Times New Roman" w:hint="eastAsia"/>
          <w:sz w:val="28"/>
          <w:szCs w:val="28"/>
        </w:rPr>
        <w:t>8:30-11:30</w:t>
      </w:r>
      <w:r>
        <w:rPr>
          <w:rFonts w:ascii="Times New Roman" w:hAnsi="Times New Roman" w:hint="eastAsia"/>
          <w:sz w:val="28"/>
          <w:szCs w:val="28"/>
        </w:rPr>
        <w:t>，</w:t>
      </w:r>
      <w:r>
        <w:rPr>
          <w:rFonts w:ascii="Times New Roman" w:hAnsi="Times New Roman" w:hint="eastAsia"/>
          <w:sz w:val="28"/>
          <w:szCs w:val="28"/>
        </w:rPr>
        <w:t>14:30-18:00</w:t>
      </w:r>
    </w:p>
    <w:p w:rsidR="006079AD" w:rsidRDefault="00EC327B">
      <w:pPr>
        <w:spacing w:line="360" w:lineRule="auto"/>
        <w:ind w:firstLineChars="200" w:firstLine="560"/>
        <w:rPr>
          <w:rFonts w:ascii="Times New Roman" w:hAnsi="Times New Roman"/>
          <w:sz w:val="28"/>
          <w:szCs w:val="28"/>
          <w:highlight w:val="yellow"/>
        </w:rPr>
      </w:pPr>
      <w:r>
        <w:rPr>
          <w:rFonts w:ascii="Times New Roman" w:hAnsi="Times New Roman" w:hint="eastAsia"/>
          <w:sz w:val="28"/>
          <w:szCs w:val="28"/>
        </w:rPr>
        <w:t>联系电话：</w:t>
      </w:r>
      <w:r>
        <w:rPr>
          <w:rFonts w:ascii="Times New Roman" w:hAnsi="Times New Roman" w:hint="eastAsia"/>
          <w:sz w:val="28"/>
          <w:szCs w:val="28"/>
        </w:rPr>
        <w:t>0515-68603503</w:t>
      </w:r>
    </w:p>
    <w:p w:rsidR="006079AD" w:rsidRDefault="006079AD">
      <w:pPr>
        <w:spacing w:line="360" w:lineRule="auto"/>
        <w:rPr>
          <w:rFonts w:ascii="Times New Roman" w:hAnsi="Times New Roman"/>
          <w:b/>
          <w:bCs/>
          <w:sz w:val="30"/>
          <w:szCs w:val="30"/>
        </w:rPr>
      </w:pPr>
    </w:p>
    <w:p w:rsidR="006079AD" w:rsidRDefault="006079AD">
      <w:pPr>
        <w:spacing w:line="360" w:lineRule="auto"/>
        <w:rPr>
          <w:rFonts w:ascii="Times New Roman" w:hAnsi="Times New Roman"/>
          <w:b/>
          <w:bCs/>
          <w:sz w:val="30"/>
          <w:szCs w:val="30"/>
        </w:rPr>
      </w:pPr>
    </w:p>
    <w:p w:rsidR="006079AD" w:rsidRDefault="006079AD">
      <w:pPr>
        <w:spacing w:line="360" w:lineRule="auto"/>
        <w:rPr>
          <w:rFonts w:ascii="Times New Roman" w:hAnsi="Times New Roman"/>
          <w:b/>
          <w:bCs/>
          <w:sz w:val="30"/>
          <w:szCs w:val="30"/>
        </w:rPr>
      </w:pPr>
    </w:p>
    <w:p w:rsidR="006079AD" w:rsidRDefault="006079AD">
      <w:pPr>
        <w:spacing w:line="360" w:lineRule="auto"/>
        <w:rPr>
          <w:rFonts w:ascii="Times New Roman" w:hAnsi="Times New Roman"/>
          <w:b/>
          <w:bCs/>
          <w:sz w:val="30"/>
          <w:szCs w:val="30"/>
        </w:rPr>
      </w:pPr>
    </w:p>
    <w:p w:rsidR="006079AD" w:rsidRDefault="00EC327B">
      <w:pPr>
        <w:spacing w:line="360" w:lineRule="auto"/>
        <w:rPr>
          <w:rFonts w:ascii="Times New Roman" w:hAnsi="Times New Roman"/>
          <w:b/>
          <w:bCs/>
          <w:sz w:val="30"/>
          <w:szCs w:val="30"/>
        </w:rPr>
      </w:pPr>
      <w:r>
        <w:rPr>
          <w:rFonts w:ascii="Times New Roman" w:hAnsi="Times New Roman" w:hint="eastAsia"/>
          <w:b/>
          <w:bCs/>
          <w:sz w:val="30"/>
          <w:szCs w:val="30"/>
        </w:rPr>
        <w:lastRenderedPageBreak/>
        <w:t>附图：</w:t>
      </w:r>
    </w:p>
    <w:p w:rsidR="006079AD" w:rsidRDefault="00C825D3" w:rsidP="00C825D3">
      <w:pPr>
        <w:spacing w:line="360" w:lineRule="auto"/>
        <w:jc w:val="center"/>
        <w:rPr>
          <w:rFonts w:ascii="Times New Roman" w:hAnsi="Times New Roman"/>
          <w:b/>
          <w:bCs/>
          <w:sz w:val="30"/>
          <w:szCs w:val="30"/>
        </w:rPr>
      </w:pPr>
      <w:r>
        <w:rPr>
          <w:rFonts w:ascii="Times New Roman" w:hAnsi="Times New Roman"/>
          <w:b/>
          <w:bCs/>
          <w:noProof/>
          <w:sz w:val="30"/>
          <w:szCs w:val="30"/>
        </w:rPr>
        <w:drawing>
          <wp:inline distT="0" distB="0" distL="0" distR="0">
            <wp:extent cx="4744720" cy="3303905"/>
            <wp:effectExtent l="19050" t="0" r="0" b="0"/>
            <wp:docPr id="1" name="图片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6"/>
                    <a:srcRect/>
                    <a:stretch>
                      <a:fillRect/>
                    </a:stretch>
                  </pic:blipFill>
                  <pic:spPr bwMode="auto">
                    <a:xfrm>
                      <a:off x="0" y="0"/>
                      <a:ext cx="4744720" cy="3303905"/>
                    </a:xfrm>
                    <a:prstGeom prst="rect">
                      <a:avLst/>
                    </a:prstGeom>
                    <a:noFill/>
                    <a:ln w="9525">
                      <a:noFill/>
                      <a:miter lim="800000"/>
                      <a:headEnd/>
                      <a:tailEnd/>
                    </a:ln>
                  </pic:spPr>
                </pic:pic>
              </a:graphicData>
            </a:graphic>
          </wp:inline>
        </w:drawing>
      </w:r>
    </w:p>
    <w:p w:rsidR="006079AD" w:rsidRDefault="00EC327B">
      <w:pPr>
        <w:spacing w:line="360" w:lineRule="auto"/>
        <w:jc w:val="center"/>
        <w:rPr>
          <w:rFonts w:ascii="Times New Roman" w:hAnsi="Times New Roman"/>
          <w:b/>
          <w:bCs/>
          <w:sz w:val="30"/>
          <w:szCs w:val="30"/>
        </w:rPr>
      </w:pPr>
      <w:r>
        <w:rPr>
          <w:rFonts w:ascii="Times New Roman" w:hAnsi="Times New Roman" w:hint="eastAsia"/>
          <w:sz w:val="28"/>
          <w:szCs w:val="28"/>
        </w:rPr>
        <w:t>（</w:t>
      </w:r>
      <w:r>
        <w:rPr>
          <w:rFonts w:ascii="Times New Roman" w:hAnsi="Times New Roman"/>
          <w:sz w:val="28"/>
          <w:szCs w:val="28"/>
        </w:rPr>
        <w:t>成片开发范围以最终批复为准</w:t>
      </w:r>
      <w:r>
        <w:rPr>
          <w:rFonts w:ascii="Times New Roman" w:hAnsi="Times New Roman" w:hint="eastAsia"/>
          <w:sz w:val="28"/>
          <w:szCs w:val="28"/>
        </w:rPr>
        <w:t>）</w:t>
      </w:r>
    </w:p>
    <w:p w:rsidR="006079AD" w:rsidRDefault="006079AD">
      <w:pPr>
        <w:spacing w:line="360" w:lineRule="auto"/>
        <w:rPr>
          <w:rFonts w:ascii="Times New Roman" w:hAnsi="Times New Roman"/>
          <w:b/>
          <w:bCs/>
          <w:sz w:val="30"/>
          <w:szCs w:val="30"/>
        </w:rPr>
      </w:pPr>
    </w:p>
    <w:p w:rsidR="006079AD" w:rsidRDefault="006079AD">
      <w:pPr>
        <w:spacing w:line="360" w:lineRule="auto"/>
        <w:rPr>
          <w:rFonts w:ascii="Times New Roman" w:hAnsi="Times New Roman"/>
          <w:b/>
          <w:bCs/>
          <w:sz w:val="30"/>
          <w:szCs w:val="30"/>
        </w:rPr>
      </w:pPr>
    </w:p>
    <w:p w:rsidR="006079AD" w:rsidRDefault="006079AD">
      <w:pPr>
        <w:spacing w:line="360" w:lineRule="auto"/>
        <w:rPr>
          <w:rFonts w:ascii="Times New Roman" w:hAnsi="Times New Roman"/>
          <w:b/>
          <w:bCs/>
          <w:sz w:val="30"/>
          <w:szCs w:val="30"/>
        </w:rPr>
      </w:pPr>
    </w:p>
    <w:p w:rsidR="006079AD" w:rsidRDefault="006079AD">
      <w:pPr>
        <w:spacing w:line="360" w:lineRule="auto"/>
        <w:rPr>
          <w:rFonts w:ascii="Times New Roman" w:hAnsi="Times New Roman"/>
          <w:b/>
          <w:bCs/>
          <w:sz w:val="30"/>
          <w:szCs w:val="30"/>
        </w:rPr>
      </w:pPr>
    </w:p>
    <w:p w:rsidR="006079AD" w:rsidRDefault="006079AD">
      <w:pPr>
        <w:spacing w:line="360" w:lineRule="auto"/>
        <w:rPr>
          <w:rFonts w:ascii="Times New Roman" w:hAnsi="Times New Roman"/>
          <w:b/>
          <w:bCs/>
          <w:sz w:val="30"/>
          <w:szCs w:val="30"/>
        </w:rPr>
      </w:pPr>
    </w:p>
    <w:sectPr w:rsidR="006079AD" w:rsidSect="006079A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27B" w:rsidRDefault="00EC327B" w:rsidP="00C825D3">
      <w:r>
        <w:separator/>
      </w:r>
    </w:p>
  </w:endnote>
  <w:endnote w:type="continuationSeparator" w:id="1">
    <w:p w:rsidR="00EC327B" w:rsidRDefault="00EC327B" w:rsidP="00C82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7A"/>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27B" w:rsidRDefault="00EC327B" w:rsidP="00C825D3">
      <w:r>
        <w:separator/>
      </w:r>
    </w:p>
  </w:footnote>
  <w:footnote w:type="continuationSeparator" w:id="1">
    <w:p w:rsidR="00EC327B" w:rsidRDefault="00EC327B" w:rsidP="00C825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oNotTrackFormatting/>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BhZmY0ODJhMjdiY2QxZjllZjI5OTliMDYzZThkMGIifQ=="/>
  </w:docVars>
  <w:rsids>
    <w:rsidRoot w:val="006079AD"/>
    <w:rsid w:val="006079AD"/>
    <w:rsid w:val="00C825D3"/>
    <w:rsid w:val="00EC3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79A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79AD"/>
    <w:pPr>
      <w:ind w:left="120"/>
    </w:pPr>
    <w:rPr>
      <w:rFonts w:ascii="宋体" w:hAnsi="宋体" w:hint="eastAsia"/>
      <w:sz w:val="28"/>
    </w:rPr>
  </w:style>
  <w:style w:type="paragraph" w:customStyle="1" w:styleId="a4">
    <w:name w:val="三调正文"/>
    <w:rsid w:val="006079AD"/>
    <w:pPr>
      <w:spacing w:line="500" w:lineRule="exact"/>
      <w:ind w:firstLineChars="200" w:firstLine="200"/>
    </w:pPr>
    <w:rPr>
      <w:rFonts w:ascii="宋体" w:hAnsi="宋体" w:cs="仿宋_GB2312"/>
      <w:sz w:val="28"/>
      <w:szCs w:val="28"/>
    </w:rPr>
  </w:style>
  <w:style w:type="paragraph" w:styleId="a5">
    <w:name w:val="header"/>
    <w:basedOn w:val="a"/>
    <w:link w:val="Char"/>
    <w:uiPriority w:val="99"/>
    <w:semiHidden/>
    <w:unhideWhenUsed/>
    <w:rsid w:val="00C82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825D3"/>
    <w:rPr>
      <w:rFonts w:ascii="Calibri" w:hAnsi="Calibri"/>
      <w:kern w:val="2"/>
      <w:sz w:val="18"/>
      <w:szCs w:val="18"/>
    </w:rPr>
  </w:style>
  <w:style w:type="paragraph" w:styleId="a6">
    <w:name w:val="footer"/>
    <w:basedOn w:val="a"/>
    <w:link w:val="Char0"/>
    <w:uiPriority w:val="99"/>
    <w:semiHidden/>
    <w:unhideWhenUsed/>
    <w:rsid w:val="00C825D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825D3"/>
    <w:rPr>
      <w:rFonts w:ascii="Calibri" w:hAnsi="Calibri"/>
      <w:kern w:val="2"/>
      <w:sz w:val="18"/>
      <w:szCs w:val="18"/>
    </w:rPr>
  </w:style>
  <w:style w:type="paragraph" w:styleId="a7">
    <w:name w:val="Balloon Text"/>
    <w:basedOn w:val="a"/>
    <w:link w:val="Char1"/>
    <w:uiPriority w:val="99"/>
    <w:semiHidden/>
    <w:unhideWhenUsed/>
    <w:rsid w:val="00C825D3"/>
    <w:rPr>
      <w:sz w:val="18"/>
      <w:szCs w:val="18"/>
    </w:rPr>
  </w:style>
  <w:style w:type="character" w:customStyle="1" w:styleId="Char1">
    <w:name w:val="批注框文本 Char"/>
    <w:basedOn w:val="a0"/>
    <w:link w:val="a7"/>
    <w:uiPriority w:val="99"/>
    <w:semiHidden/>
    <w:rsid w:val="00C825D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224</Words>
  <Characters>1277</Characters>
  <Application>Microsoft Office Word</Application>
  <DocSecurity>0</DocSecurity>
  <Lines>10</Lines>
  <Paragraphs>2</Paragraphs>
  <ScaleCrop>false</ScaleCrop>
  <Company>微软中国</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亭湖区政府收发员</cp:lastModifiedBy>
  <cp:revision>2</cp:revision>
  <cp:lastPrinted>2021-09-16T06:12:00Z</cp:lastPrinted>
  <dcterms:created xsi:type="dcterms:W3CDTF">2021-09-10T01:11:00Z</dcterms:created>
  <dcterms:modified xsi:type="dcterms:W3CDTF">2023-11-11T02:10:00Z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2ac8fe2b8d224f28a939208961615c01_23</vt:lpwstr>
  </property>
</Properties>
</file>